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3653DB" w:rsidRPr="00786F03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 xml:space="preserve">ctinidaiceae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Actinidia, Clematoclethra, Saurauia</w:t>
      </w:r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r w:rsidR="00733DE7">
        <w:rPr>
          <w:rFonts w:ascii="Calibri" w:hAnsi="Calibri"/>
          <w:sz w:val="20"/>
          <w:szCs w:val="20"/>
          <w:lang w:val="es-MX"/>
        </w:rPr>
        <w:t xml:space="preserve"> se encuentra en los neotrópicos (con </w:t>
      </w:r>
      <w:r w:rsidR="00877CB1">
        <w:rPr>
          <w:rFonts w:ascii="Calibri" w:hAnsi="Calibri"/>
          <w:sz w:val="20"/>
          <w:szCs w:val="20"/>
          <w:lang w:val="es-MX"/>
        </w:rPr>
        <w:t>aproximadamente 70 especies). En México se ha registrado un poco más de 40 especies.</w:t>
      </w:r>
    </w:p>
    <w:p w:rsidR="00733DE7" w:rsidRPr="00733DE7" w:rsidRDefault="00631EE6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  <w:t xml:space="preserve">Para Mexico los tratados principales son de la </w:t>
      </w:r>
      <w:r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 w:rsidR="00733DE7">
        <w:rPr>
          <w:rFonts w:ascii="Calibri" w:hAnsi="Calibri"/>
          <w:sz w:val="20"/>
          <w:szCs w:val="20"/>
          <w:lang w:val="es-MX"/>
        </w:rPr>
        <w:t xml:space="preserve">,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 w:rsidR="00733DE7">
        <w:rPr>
          <w:rFonts w:ascii="Calibri" w:hAnsi="Calibri"/>
          <w:sz w:val="20"/>
          <w:szCs w:val="20"/>
          <w:lang w:val="es-MX"/>
        </w:rPr>
        <w:t xml:space="preserve"> y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 w:rsidR="00733DE7">
        <w:rPr>
          <w:rFonts w:ascii="Calibri" w:hAnsi="Calibri"/>
          <w:sz w:val="20"/>
          <w:szCs w:val="20"/>
          <w:lang w:val="es-MX"/>
        </w:rPr>
        <w:t>.</w:t>
      </w:r>
    </w:p>
    <w:p w:rsidR="000043DD" w:rsidRPr="000043DD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</w:rPr>
      </w:pPr>
    </w:p>
    <w:p w:rsidR="0019688D" w:rsidRPr="00BD6E4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s-MX"/>
        </w:rPr>
      </w:pPr>
      <w:r>
        <w:rPr>
          <w:rFonts w:ascii="Calibri" w:hAnsi="Calibri"/>
          <w:b/>
          <w:i/>
          <w:lang w:val="es-MX"/>
        </w:rPr>
        <w:br w:type="page"/>
      </w:r>
      <w:r>
        <w:rPr>
          <w:rFonts w:ascii="Calibri" w:hAnsi="Calibri"/>
          <w:b/>
          <w:i/>
          <w:lang w:val="es-MX"/>
        </w:rPr>
        <w:lastRenderedPageBreak/>
        <w:t>Istawākowit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D6E4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Saurauia</w:t>
            </w:r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sp. </w:t>
            </w:r>
          </w:p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BD6E4D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istawāt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>
        <w:rPr>
          <w:rFonts w:ascii="Calibri" w:hAnsi="Calibri"/>
          <w:i/>
          <w:sz w:val="20"/>
          <w:szCs w:val="20"/>
          <w:lang w:val="es-MX"/>
        </w:rPr>
        <w:t>ista</w:t>
      </w:r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r>
        <w:rPr>
          <w:rFonts w:ascii="Calibri" w:hAnsi="Calibri"/>
          <w:i/>
          <w:sz w:val="20"/>
          <w:szCs w:val="20"/>
          <w:lang w:val="es-MX"/>
        </w:rPr>
        <w:t>wā</w:t>
      </w:r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r>
        <w:rPr>
          <w:rFonts w:ascii="Calibri" w:hAnsi="Calibri"/>
          <w:sz w:val="20"/>
          <w:szCs w:val="20"/>
          <w:lang w:val="es-MX"/>
        </w:rPr>
        <w:t xml:space="preserve"> (árbol). Aunque parece que el primero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r>
        <w:rPr>
          <w:rFonts w:ascii="Calibri" w:hAnsi="Calibri"/>
          <w:sz w:val="20"/>
          <w:szCs w:val="20"/>
          <w:lang w:val="es-MX"/>
        </w:rPr>
        <w:t>, ‘sal’, utilizando la ra</w:t>
      </w:r>
      <w:r w:rsidRPr="00BD6E4D">
        <w:rPr>
          <w:rFonts w:ascii="Calibri" w:hAnsi="Calibri"/>
          <w:sz w:val="20"/>
          <w:szCs w:val="20"/>
          <w:lang w:val="es-MX"/>
        </w:rPr>
        <w:t xml:space="preserve">iz sustantivo </w:t>
      </w:r>
      <w:r w:rsidRPr="00BD6E4D">
        <w:rPr>
          <w:rFonts w:ascii="Calibri" w:hAnsi="Calibri"/>
          <w:i/>
          <w:sz w:val="20"/>
          <w:szCs w:val="20"/>
          <w:lang w:val="es-MX"/>
        </w:rPr>
        <w:t>ista-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r w:rsidR="00613AD6" w:rsidRPr="00613AD6">
        <w:rPr>
          <w:rFonts w:ascii="Calibri" w:hAnsi="Calibri"/>
          <w:i/>
          <w:sz w:val="20"/>
          <w:szCs w:val="20"/>
          <w:lang w:val="es-MX"/>
        </w:rPr>
        <w:t>wā-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P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r w:rsidR="007D5FA0" w:rsidRPr="005369DC">
        <w:rPr>
          <w:rFonts w:ascii="Calibri" w:hAnsi="Calibri"/>
          <w:i/>
          <w:sz w:val="20"/>
          <w:szCs w:val="20"/>
          <w:lang w:val="es-MX"/>
        </w:rPr>
        <w:t>Saurauia scabrida</w:t>
      </w:r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r w:rsidR="00FE5851">
        <w:rPr>
          <w:rFonts w:ascii="Calibri" w:hAnsi="Calibri"/>
          <w:sz w:val="20"/>
          <w:szCs w:val="20"/>
          <w:lang w:val="es-MX"/>
        </w:rPr>
        <w:t xml:space="preserve">. Este dato se toma de Steinmann (2002:3) quien registra éste, entre otros, como nombre común de este árbol fuera de la región de El Bajío. </w:t>
      </w:r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FE5851">
        <w:rPr>
          <w:rFonts w:ascii="Calibri" w:hAnsi="Calibri"/>
          <w:sz w:val="20"/>
          <w:szCs w:val="20"/>
          <w:lang w:val="es-MX"/>
        </w:rPr>
        <w:lastRenderedPageBreak/>
        <w:t xml:space="preserve">se usa para significar 'potrero'.  Pero nótese que aparte de la diferencia entre /x/ y /s/, mientras que en 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/istaw</w:t>
      </w:r>
      <w:r w:rsidR="00B5513C">
        <w:rPr>
          <w:rFonts w:ascii="Calibri" w:hAnsi="Calibri" w:cs="Calibri"/>
          <w:sz w:val="20"/>
          <w:szCs w:val="20"/>
          <w:lang w:val="es-MX"/>
        </w:rPr>
        <w:t xml:space="preserve">āt/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>Descripción 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 xml:space="preserve">.El </w:t>
      </w:r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aserrado o aserrulado,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877CB1">
        <w:rPr>
          <w:rFonts w:ascii="Calibri" w:hAnsi="Calibri"/>
          <w:sz w:val="20"/>
          <w:szCs w:val="20"/>
          <w:lang w:val="es-MX"/>
        </w:rPr>
        <w:t xml:space="preserve"> amarillas claras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n-US"/>
        </w:rPr>
      </w:pPr>
      <w:r w:rsidRPr="001D5840">
        <w:rPr>
          <w:rFonts w:ascii="Calibri" w:hAnsi="Calibri"/>
          <w:b/>
          <w:i/>
          <w:sz w:val="20"/>
          <w:szCs w:val="20"/>
          <w:lang w:val="en-US"/>
        </w:rPr>
        <w:t>Usos</w:t>
      </w:r>
      <w:r w:rsidRPr="001D5840">
        <w:rPr>
          <w:rFonts w:ascii="Calibri" w:hAnsi="Calibri"/>
          <w:b/>
          <w:sz w:val="20"/>
          <w:szCs w:val="20"/>
          <w:lang w:val="en-US"/>
        </w:rPr>
        <w:t>:</w:t>
      </w:r>
      <w:r w:rsidRPr="001D5840">
        <w:rPr>
          <w:rFonts w:ascii="Calibri" w:hAnsi="Calibri"/>
          <w:sz w:val="20"/>
          <w:szCs w:val="20"/>
          <w:lang w:val="en-US"/>
        </w:rPr>
        <w:t xml:space="preserve"> </w:t>
      </w:r>
      <w:r w:rsidR="001D5840">
        <w:rPr>
          <w:rFonts w:ascii="Calibri" w:hAnsi="Calibri"/>
          <w:sz w:val="20"/>
          <w:szCs w:val="20"/>
          <w:lang w:val="en-US"/>
        </w:rPr>
        <w:t xml:space="preserve">Las vacas se comen las hojas; pájaros comen las semillas. La madera se utiliza solamente para leña </w:t>
      </w:r>
    </w:p>
    <w:p w:rsidR="001D5840" w:rsidRDefault="001D5840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Tzinacapan. No hay datos si ocurre en terrenos bajos (hacia Tacuapa) o altos (hacia Xocoyolo).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>El istawāt no se beneficio por 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Tropicos hay tres especies de Saurauia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leucocarpa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scabrida</w:t>
      </w:r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Ningún asesor en náhuat indicó que se distingue más que un tipo entre la gente indígena del lugar aunque no se puede descartar la posibilidad que el término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istawāt</w:t>
      </w:r>
      <w:r w:rsidR="00733DE7">
        <w:rPr>
          <w:rFonts w:ascii="Calibri" w:hAnsi="Calibri"/>
          <w:sz w:val="20"/>
          <w:szCs w:val="20"/>
          <w:lang w:val="es-MX"/>
        </w:rPr>
        <w:t xml:space="preserve"> abarque más de una especie científica.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B5513C">
        <w:rPr>
          <w:rFonts w:ascii="Calibri" w:hAnsi="Calibri"/>
          <w:b/>
          <w:sz w:val="20"/>
          <w:szCs w:val="20"/>
          <w:lang w:val="es-MX"/>
        </w:rPr>
        <w:t xml:space="preserve">Menciones 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de </w:t>
      </w:r>
      <w:r w:rsidR="00A112A8" w:rsidRPr="00A112A8">
        <w:rPr>
          <w:rFonts w:ascii="Calibri" w:hAnsi="Calibri"/>
          <w:b/>
          <w:i/>
          <w:sz w:val="20"/>
          <w:szCs w:val="20"/>
          <w:lang w:val="es-MX"/>
        </w:rPr>
        <w:t>istawa:t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B5513C">
        <w:rPr>
          <w:rFonts w:ascii="Calibri" w:hAnsi="Calibri"/>
          <w:b/>
          <w:sz w:val="20"/>
          <w:szCs w:val="20"/>
          <w:lang w:val="es-MX"/>
        </w:rPr>
        <w:t>en las grabaciones</w:t>
      </w:r>
      <w:r>
        <w:rPr>
          <w:rFonts w:ascii="Calibri" w:hAnsi="Calibri"/>
          <w:sz w:val="20"/>
          <w:szCs w:val="20"/>
          <w:lang w:val="es-MX"/>
        </w:rPr>
        <w:t>:</w:t>
      </w: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4050"/>
        <w:gridCol w:w="1484"/>
      </w:tblGrid>
      <w:tr w:rsidR="00B5513C" w:rsidTr="00A112A8">
        <w:tc>
          <w:tcPr>
            <w:tcW w:w="1368" w:type="dxa"/>
          </w:tcPr>
          <w:p w:rsidR="00B5513C" w:rsidRDefault="00B5513C" w:rsidP="00B5513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B5513C">
              <w:rPr>
                <w:rFonts w:ascii="Calibri" w:hAnsi="Calibri"/>
                <w:sz w:val="20"/>
                <w:szCs w:val="20"/>
                <w:lang w:val="es-MX"/>
              </w:rPr>
              <w:t>2010-07-16-a</w:t>
            </w: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Anastacio Nicolás Damián</w:t>
            </w:r>
          </w:p>
        </w:tc>
        <w:tc>
          <w:tcPr>
            <w:tcW w:w="4050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kuiah seki yo:n istawa:t, </w:t>
            </w: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tsa:wapahkowit</w:t>
            </w:r>
          </w:p>
        </w:tc>
        <w:tc>
          <w:tcPr>
            <w:tcW w:w="1484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1172.025</w:t>
            </w: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sectPr w:rsidR="00B5513C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B0" w:rsidRDefault="004D41B0">
      <w:r>
        <w:separator/>
      </w:r>
    </w:p>
  </w:endnote>
  <w:endnote w:type="continuationSeparator" w:id="0">
    <w:p w:rsidR="004D41B0" w:rsidRDefault="004D4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B0" w:rsidRDefault="004D41B0">
      <w:r>
        <w:separator/>
      </w:r>
    </w:p>
  </w:footnote>
  <w:footnote w:type="continuationSeparator" w:id="0">
    <w:p w:rsidR="004D41B0" w:rsidRDefault="004D4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F3851"/>
    <w:rsid w:val="00613AD6"/>
    <w:rsid w:val="00622501"/>
    <w:rsid w:val="00631EE6"/>
    <w:rsid w:val="0064545C"/>
    <w:rsid w:val="00652153"/>
    <w:rsid w:val="006622BE"/>
    <w:rsid w:val="00671B37"/>
    <w:rsid w:val="00673B46"/>
    <w:rsid w:val="006C1FF0"/>
    <w:rsid w:val="006F0115"/>
    <w:rsid w:val="00715614"/>
    <w:rsid w:val="00733DE7"/>
    <w:rsid w:val="00752A90"/>
    <w:rsid w:val="00770FAE"/>
    <w:rsid w:val="007736A8"/>
    <w:rsid w:val="007748AB"/>
    <w:rsid w:val="00786F03"/>
    <w:rsid w:val="007A0837"/>
    <w:rsid w:val="007A2876"/>
    <w:rsid w:val="007C1196"/>
    <w:rsid w:val="007C1D85"/>
    <w:rsid w:val="007C6C00"/>
    <w:rsid w:val="007C6EBA"/>
    <w:rsid w:val="007D5FA0"/>
    <w:rsid w:val="00875B64"/>
    <w:rsid w:val="00877CB1"/>
    <w:rsid w:val="0088005B"/>
    <w:rsid w:val="00880520"/>
    <w:rsid w:val="008947A5"/>
    <w:rsid w:val="00896BE5"/>
    <w:rsid w:val="008B3177"/>
    <w:rsid w:val="008E1AA4"/>
    <w:rsid w:val="008F0A23"/>
    <w:rsid w:val="008F2A44"/>
    <w:rsid w:val="00947A41"/>
    <w:rsid w:val="00953D09"/>
    <w:rsid w:val="00990FB5"/>
    <w:rsid w:val="009C71B8"/>
    <w:rsid w:val="00A112A8"/>
    <w:rsid w:val="00A24535"/>
    <w:rsid w:val="00A37D62"/>
    <w:rsid w:val="00A4662B"/>
    <w:rsid w:val="00A7188D"/>
    <w:rsid w:val="00A814CC"/>
    <w:rsid w:val="00A82B55"/>
    <w:rsid w:val="00B133D1"/>
    <w:rsid w:val="00B26747"/>
    <w:rsid w:val="00B26BC4"/>
    <w:rsid w:val="00B41989"/>
    <w:rsid w:val="00B4209E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90BF1"/>
    <w:rsid w:val="00CA14E1"/>
    <w:rsid w:val="00CB2433"/>
    <w:rsid w:val="00DA67C0"/>
    <w:rsid w:val="00DC693C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7D9F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2</cp:revision>
  <cp:lastPrinted>2011-06-08T06:22:00Z</cp:lastPrinted>
  <dcterms:created xsi:type="dcterms:W3CDTF">2012-04-30T22:10:00Z</dcterms:created>
  <dcterms:modified xsi:type="dcterms:W3CDTF">2012-04-30T22:10:00Z</dcterms:modified>
</cp:coreProperties>
</file>